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1E" w:rsidRPr="004A6725" w:rsidRDefault="004C5192" w:rsidP="00D2423C">
      <w:pPr>
        <w:pStyle w:val="Heading1"/>
        <w:jc w:val="center"/>
      </w:pPr>
      <w:r>
        <w:t>KS2 SAT Results Summer 2019</w:t>
      </w:r>
    </w:p>
    <w:p w:rsidR="00423AB7" w:rsidRPr="004D4B20" w:rsidRDefault="004C5192" w:rsidP="004D4B20">
      <w:pPr>
        <w:jc w:val="center"/>
        <w:rPr>
          <w:color w:val="FF0000"/>
        </w:rPr>
      </w:pPr>
      <w:r>
        <w:rPr>
          <w:color w:val="FF0000"/>
        </w:rPr>
        <w:t>2018</w:t>
      </w:r>
      <w:r w:rsidR="004D4B20" w:rsidRPr="004D4B20">
        <w:rPr>
          <w:color w:val="FF0000"/>
        </w:rPr>
        <w:t xml:space="preserve"> Results shown in red</w:t>
      </w:r>
    </w:p>
    <w:p w:rsidR="002D7AC1" w:rsidRDefault="004A6725" w:rsidP="00B11C51">
      <w:pPr>
        <w:ind w:left="-567"/>
      </w:pPr>
      <w:r>
        <w:t>Standardised score</w:t>
      </w:r>
      <w:r w:rsidR="00E50602">
        <w:t>s are from 80-12</w:t>
      </w:r>
      <w:r w:rsidR="0071587E">
        <w:t>0. A score</w:t>
      </w:r>
      <w:r>
        <w:t xml:space="preserve"> of 100 = age related</w:t>
      </w:r>
      <w:r w:rsidR="002D7AC1">
        <w:t>. 100 Standardised score is based on a raw score.</w:t>
      </w:r>
    </w:p>
    <w:p w:rsidR="004A6725" w:rsidRDefault="004A6725" w:rsidP="00B11C51">
      <w:pPr>
        <w:spacing w:after="0" w:line="240" w:lineRule="auto"/>
        <w:ind w:left="-567"/>
      </w:pPr>
      <w:r>
        <w:t xml:space="preserve">For Reading this was: </w:t>
      </w:r>
      <w:r>
        <w:tab/>
      </w:r>
      <w:r>
        <w:tab/>
      </w:r>
      <w:r>
        <w:tab/>
      </w:r>
      <w:r w:rsidR="00F818FA">
        <w:t>28</w:t>
      </w:r>
      <w:r w:rsidR="00146DF7">
        <w:t>/50</w:t>
      </w:r>
      <w:r w:rsidR="004D4B20">
        <w:tab/>
      </w:r>
      <w:r w:rsidR="004C5192">
        <w:rPr>
          <w:color w:val="FF0000"/>
        </w:rPr>
        <w:t>28</w:t>
      </w:r>
      <w:r w:rsidRPr="004D4B20">
        <w:rPr>
          <w:color w:val="FF0000"/>
        </w:rPr>
        <w:t>/50</w:t>
      </w:r>
    </w:p>
    <w:p w:rsidR="00423AB7" w:rsidRDefault="004A6725" w:rsidP="00B11C51">
      <w:pPr>
        <w:spacing w:after="0" w:line="240" w:lineRule="auto"/>
        <w:ind w:left="-567"/>
      </w:pPr>
      <w:r>
        <w:t xml:space="preserve">For Grammar and spelling this was: </w:t>
      </w:r>
      <w:r>
        <w:tab/>
      </w:r>
      <w:r w:rsidR="00F818FA">
        <w:t>36</w:t>
      </w:r>
      <w:r w:rsidR="00146DF7">
        <w:t>/70</w:t>
      </w:r>
      <w:r w:rsidR="004D4B20">
        <w:tab/>
      </w:r>
      <w:r w:rsidR="004C5192">
        <w:rPr>
          <w:color w:val="FF0000"/>
        </w:rPr>
        <w:t>38</w:t>
      </w:r>
      <w:r w:rsidRPr="004D4B20">
        <w:rPr>
          <w:color w:val="FF0000"/>
        </w:rPr>
        <w:t>/70</w:t>
      </w:r>
    </w:p>
    <w:p w:rsidR="004A6725" w:rsidRDefault="004A6725" w:rsidP="00B11C51">
      <w:pPr>
        <w:spacing w:after="0" w:line="240" w:lineRule="auto"/>
        <w:ind w:left="-567"/>
        <w:rPr>
          <w:color w:val="FF0000"/>
        </w:rPr>
      </w:pPr>
      <w:r>
        <w:t xml:space="preserve">For Mathematics this was: </w:t>
      </w:r>
      <w:r>
        <w:tab/>
      </w:r>
      <w:r>
        <w:tab/>
      </w:r>
      <w:r w:rsidR="00F818FA">
        <w:t>58</w:t>
      </w:r>
      <w:r w:rsidR="00146DF7">
        <w:t>/110</w:t>
      </w:r>
      <w:r w:rsidR="004D4B20">
        <w:tab/>
      </w:r>
      <w:r w:rsidR="004C5192">
        <w:rPr>
          <w:color w:val="FF0000"/>
        </w:rPr>
        <w:t>61</w:t>
      </w:r>
      <w:r w:rsidRPr="004D4B20">
        <w:rPr>
          <w:color w:val="FF0000"/>
        </w:rPr>
        <w:t>/110</w:t>
      </w:r>
    </w:p>
    <w:p w:rsidR="00B11C51" w:rsidRDefault="00B11C51" w:rsidP="00423AB7">
      <w:pPr>
        <w:spacing w:after="0" w:line="240" w:lineRule="auto"/>
      </w:pPr>
    </w:p>
    <w:p w:rsidR="00B11C51" w:rsidRDefault="00B11C51" w:rsidP="00B11C51">
      <w:pPr>
        <w:spacing w:after="0" w:line="240" w:lineRule="auto"/>
        <w:ind w:left="-567" w:right="-472"/>
      </w:pPr>
      <w:r>
        <w:t>A standardised score greater than 110 is considered to be equivalent of working at greater depth or mastery.</w:t>
      </w:r>
    </w:p>
    <w:p w:rsidR="00423AB7" w:rsidRDefault="00B11C51" w:rsidP="00B11C51">
      <w:pPr>
        <w:spacing w:after="0" w:line="240" w:lineRule="auto"/>
        <w:ind w:left="-567" w:right="-472"/>
      </w:pPr>
      <w:r>
        <w:t xml:space="preserve"> </w:t>
      </w:r>
    </w:p>
    <w:tbl>
      <w:tblPr>
        <w:tblStyle w:val="TableGrid"/>
        <w:tblW w:w="10668" w:type="dxa"/>
        <w:jc w:val="center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  <w:gridCol w:w="1524"/>
      </w:tblGrid>
      <w:tr w:rsidR="00B11C51" w:rsidTr="00B11C51">
        <w:trPr>
          <w:trHeight w:val="462"/>
          <w:jc w:val="center"/>
        </w:trPr>
        <w:tc>
          <w:tcPr>
            <w:tcW w:w="1524" w:type="dxa"/>
            <w:vAlign w:val="center"/>
          </w:tcPr>
          <w:p w:rsidR="00B11C51" w:rsidRDefault="00B11C51" w:rsidP="004A6725">
            <w:pPr>
              <w:jc w:val="center"/>
            </w:pPr>
          </w:p>
        </w:tc>
        <w:tc>
          <w:tcPr>
            <w:tcW w:w="1524" w:type="dxa"/>
            <w:vAlign w:val="center"/>
          </w:tcPr>
          <w:p w:rsidR="00B11C51" w:rsidRDefault="00B11C51" w:rsidP="004A6725">
            <w:pPr>
              <w:jc w:val="center"/>
            </w:pPr>
            <w:r>
              <w:t>% &gt; = 100</w:t>
            </w:r>
          </w:p>
        </w:tc>
        <w:tc>
          <w:tcPr>
            <w:tcW w:w="1524" w:type="dxa"/>
            <w:vAlign w:val="center"/>
          </w:tcPr>
          <w:p w:rsidR="00B11C51" w:rsidRDefault="00B11C51" w:rsidP="004A6725">
            <w:pPr>
              <w:jc w:val="center"/>
            </w:pPr>
            <w:r>
              <w:t>% &gt; = 110</w:t>
            </w:r>
          </w:p>
        </w:tc>
        <w:tc>
          <w:tcPr>
            <w:tcW w:w="1524" w:type="dxa"/>
            <w:vAlign w:val="center"/>
          </w:tcPr>
          <w:p w:rsidR="00B11C51" w:rsidRDefault="00B11C51" w:rsidP="004A6725">
            <w:pPr>
              <w:jc w:val="center"/>
            </w:pPr>
            <w:r>
              <w:t>% &lt; 100</w:t>
            </w:r>
          </w:p>
        </w:tc>
        <w:tc>
          <w:tcPr>
            <w:tcW w:w="1524" w:type="dxa"/>
            <w:vAlign w:val="center"/>
          </w:tcPr>
          <w:p w:rsidR="00B11C51" w:rsidRDefault="00B11C51" w:rsidP="004A6725">
            <w:pPr>
              <w:jc w:val="center"/>
            </w:pPr>
            <w:r>
              <w:t>% 90 -99</w:t>
            </w:r>
          </w:p>
        </w:tc>
        <w:tc>
          <w:tcPr>
            <w:tcW w:w="1524" w:type="dxa"/>
            <w:vAlign w:val="center"/>
          </w:tcPr>
          <w:p w:rsidR="00B11C51" w:rsidRDefault="00B11C51" w:rsidP="004A6725">
            <w:pPr>
              <w:jc w:val="center"/>
            </w:pPr>
            <w:r>
              <w:t>% &lt; 90</w:t>
            </w:r>
          </w:p>
        </w:tc>
        <w:tc>
          <w:tcPr>
            <w:tcW w:w="1524" w:type="dxa"/>
          </w:tcPr>
          <w:p w:rsidR="00B11C51" w:rsidRDefault="00B11C51" w:rsidP="004A0DDE">
            <w:pPr>
              <w:jc w:val="center"/>
            </w:pPr>
            <w:r>
              <w:t>Did not reach 80</w:t>
            </w:r>
          </w:p>
        </w:tc>
      </w:tr>
      <w:tr w:rsidR="00B11C51" w:rsidTr="00B11C51">
        <w:trPr>
          <w:trHeight w:val="462"/>
          <w:jc w:val="center"/>
        </w:trPr>
        <w:tc>
          <w:tcPr>
            <w:tcW w:w="1524" w:type="dxa"/>
            <w:vAlign w:val="center"/>
          </w:tcPr>
          <w:p w:rsidR="00B11C51" w:rsidRDefault="00B11C51" w:rsidP="0071587E">
            <w:pPr>
              <w:jc w:val="center"/>
            </w:pPr>
            <w:r>
              <w:t>Reading</w:t>
            </w:r>
          </w:p>
        </w:tc>
        <w:tc>
          <w:tcPr>
            <w:tcW w:w="1524" w:type="dxa"/>
            <w:vAlign w:val="center"/>
          </w:tcPr>
          <w:p w:rsidR="00B11C51" w:rsidRPr="00D82004" w:rsidRDefault="00846E1E" w:rsidP="0071587E">
            <w:pPr>
              <w:jc w:val="center"/>
              <w:rPr>
                <w:color w:val="FF0000"/>
              </w:rPr>
            </w:pPr>
            <w:r>
              <w:t>90</w:t>
            </w:r>
            <w:r w:rsidR="00B11C51">
              <w:t xml:space="preserve">% </w:t>
            </w:r>
            <w:r w:rsidR="004C5192">
              <w:rPr>
                <w:color w:val="FF0000"/>
              </w:rPr>
              <w:t>(97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50</w:t>
            </w:r>
            <w:r w:rsidR="00B11C51" w:rsidRPr="00146DF7">
              <w:t>%</w:t>
            </w:r>
            <w:r w:rsidR="001B0C66">
              <w:rPr>
                <w:color w:val="FF0000"/>
              </w:rPr>
              <w:t xml:space="preserve"> (61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10</w:t>
            </w:r>
            <w:r w:rsidR="00B11C51" w:rsidRPr="00146DF7">
              <w:t xml:space="preserve">% </w:t>
            </w:r>
            <w:r w:rsidR="001B0C66">
              <w:rPr>
                <w:color w:val="FF0000"/>
              </w:rPr>
              <w:t>(3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B11C51" w:rsidP="0071587E">
            <w:pPr>
              <w:jc w:val="center"/>
              <w:rPr>
                <w:color w:val="FF0000"/>
              </w:rPr>
            </w:pPr>
            <w:r>
              <w:t>3</w:t>
            </w:r>
            <w:r w:rsidR="007048D8">
              <w:t>.3</w:t>
            </w:r>
            <w:r w:rsidRPr="00146DF7">
              <w:t>%</w:t>
            </w:r>
            <w:r w:rsidR="001B0C66">
              <w:rPr>
                <w:color w:val="FF0000"/>
              </w:rPr>
              <w:t xml:space="preserve"> (3</w:t>
            </w:r>
            <w:r w:rsidRPr="00D82004">
              <w:rPr>
                <w:color w:val="FF0000"/>
              </w:rPr>
              <w:t>%</w:t>
            </w:r>
            <w:r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 xml:space="preserve">% </w:t>
            </w:r>
            <w:r w:rsidR="00B11C51">
              <w:rPr>
                <w:color w:val="FF0000"/>
              </w:rPr>
              <w:t>(0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B11C51">
              <w:rPr>
                <w:color w:val="FF0000"/>
              </w:rPr>
              <w:t xml:space="preserve"> (</w:t>
            </w:r>
            <w:r w:rsidR="00B11C51" w:rsidRPr="00D82004">
              <w:rPr>
                <w:color w:val="FF0000"/>
              </w:rPr>
              <w:t>0%</w:t>
            </w:r>
            <w:r w:rsidR="00B11C51">
              <w:rPr>
                <w:color w:val="FF0000"/>
              </w:rPr>
              <w:t>)</w:t>
            </w:r>
          </w:p>
        </w:tc>
      </w:tr>
      <w:tr w:rsidR="00B11C51" w:rsidTr="00B11C51">
        <w:trPr>
          <w:trHeight w:val="487"/>
          <w:jc w:val="center"/>
        </w:trPr>
        <w:tc>
          <w:tcPr>
            <w:tcW w:w="1524" w:type="dxa"/>
            <w:vAlign w:val="center"/>
          </w:tcPr>
          <w:p w:rsidR="00B11C51" w:rsidRPr="005048DF" w:rsidRDefault="00B11C51" w:rsidP="0071587E">
            <w:pPr>
              <w:jc w:val="center"/>
            </w:pPr>
            <w:r w:rsidRPr="005048DF">
              <w:t>Grammar</w:t>
            </w:r>
          </w:p>
        </w:tc>
        <w:tc>
          <w:tcPr>
            <w:tcW w:w="1524" w:type="dxa"/>
            <w:vAlign w:val="center"/>
          </w:tcPr>
          <w:p w:rsidR="00B11C51" w:rsidRPr="00D82004" w:rsidRDefault="00846E1E" w:rsidP="0071587E">
            <w:pPr>
              <w:jc w:val="center"/>
              <w:rPr>
                <w:color w:val="FF0000"/>
              </w:rPr>
            </w:pPr>
            <w:r>
              <w:t>90</w:t>
            </w:r>
            <w:r w:rsidR="00B11C51" w:rsidRPr="00146DF7">
              <w:t>%</w:t>
            </w:r>
            <w:r w:rsidR="004C5192">
              <w:rPr>
                <w:color w:val="FF0000"/>
              </w:rPr>
              <w:t xml:space="preserve"> (90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67</w:t>
            </w:r>
            <w:r w:rsidR="00B11C51" w:rsidRPr="00146DF7">
              <w:t>%</w:t>
            </w:r>
            <w:r w:rsidR="001B0C66">
              <w:rPr>
                <w:color w:val="FF0000"/>
              </w:rPr>
              <w:t xml:space="preserve"> (81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10</w:t>
            </w:r>
            <w:r w:rsidR="00B11C51" w:rsidRPr="00146DF7">
              <w:t>%</w:t>
            </w:r>
            <w:r w:rsidR="00B11C51">
              <w:rPr>
                <w:color w:val="FF0000"/>
              </w:rPr>
              <w:t xml:space="preserve"> (</w:t>
            </w:r>
            <w:r w:rsidR="001B0C66">
              <w:rPr>
                <w:color w:val="FF0000"/>
              </w:rPr>
              <w:t>10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1B0C66">
              <w:rPr>
                <w:color w:val="FF0000"/>
              </w:rPr>
              <w:t xml:space="preserve"> (10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B11C51">
              <w:rPr>
                <w:color w:val="FF0000"/>
              </w:rPr>
              <w:t xml:space="preserve"> (0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B11C51">
              <w:rPr>
                <w:color w:val="FF0000"/>
              </w:rPr>
              <w:t xml:space="preserve"> (</w:t>
            </w:r>
            <w:r w:rsidR="00B11C51" w:rsidRPr="00D82004">
              <w:rPr>
                <w:color w:val="FF0000"/>
              </w:rPr>
              <w:t>0%</w:t>
            </w:r>
            <w:r w:rsidR="00B11C51">
              <w:rPr>
                <w:color w:val="FF0000"/>
              </w:rPr>
              <w:t>)</w:t>
            </w:r>
          </w:p>
        </w:tc>
      </w:tr>
      <w:tr w:rsidR="00B11C51" w:rsidTr="00B11C51">
        <w:trPr>
          <w:trHeight w:val="487"/>
          <w:jc w:val="center"/>
        </w:trPr>
        <w:tc>
          <w:tcPr>
            <w:tcW w:w="1524" w:type="dxa"/>
            <w:vAlign w:val="center"/>
          </w:tcPr>
          <w:p w:rsidR="00B11C51" w:rsidRPr="005048DF" w:rsidRDefault="00B11C51" w:rsidP="0071587E">
            <w:pPr>
              <w:jc w:val="center"/>
            </w:pPr>
            <w:r>
              <w:t>Maths</w:t>
            </w:r>
          </w:p>
        </w:tc>
        <w:tc>
          <w:tcPr>
            <w:tcW w:w="1524" w:type="dxa"/>
            <w:vAlign w:val="center"/>
          </w:tcPr>
          <w:p w:rsidR="00B11C51" w:rsidRPr="00D82004" w:rsidRDefault="00846E1E" w:rsidP="0071587E">
            <w:pPr>
              <w:jc w:val="center"/>
              <w:rPr>
                <w:color w:val="FF0000"/>
              </w:rPr>
            </w:pPr>
            <w:r>
              <w:t>90</w:t>
            </w:r>
            <w:r w:rsidR="00B11C51" w:rsidRPr="00146DF7">
              <w:t>%</w:t>
            </w:r>
            <w:r w:rsidR="004C5192">
              <w:rPr>
                <w:color w:val="FF0000"/>
              </w:rPr>
              <w:t xml:space="preserve"> (90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53</w:t>
            </w:r>
            <w:r w:rsidR="00B11C51" w:rsidRPr="00146DF7">
              <w:t xml:space="preserve">% </w:t>
            </w:r>
            <w:r w:rsidR="001B0C66">
              <w:rPr>
                <w:color w:val="FF0000"/>
              </w:rPr>
              <w:t>(45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10</w:t>
            </w:r>
            <w:r w:rsidR="00B11C51" w:rsidRPr="00146DF7">
              <w:t>%</w:t>
            </w:r>
            <w:r w:rsidR="001B0C66">
              <w:rPr>
                <w:color w:val="FF0000"/>
              </w:rPr>
              <w:t xml:space="preserve"> (10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1B0C66">
              <w:rPr>
                <w:color w:val="FF0000"/>
              </w:rPr>
              <w:t xml:space="preserve"> (10</w:t>
            </w:r>
            <w:r w:rsidR="00B11C51" w:rsidRPr="00D82004">
              <w:rPr>
                <w:color w:val="FF0000"/>
              </w:rPr>
              <w:t>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B11C51">
              <w:rPr>
                <w:color w:val="FF0000"/>
              </w:rPr>
              <w:t xml:space="preserve"> (</w:t>
            </w:r>
            <w:r w:rsidR="00B11C51" w:rsidRPr="00D82004">
              <w:rPr>
                <w:color w:val="FF0000"/>
              </w:rPr>
              <w:t>0%</w:t>
            </w:r>
            <w:r w:rsidR="00B11C51">
              <w:rPr>
                <w:color w:val="FF0000"/>
              </w:rPr>
              <w:t>)</w:t>
            </w:r>
          </w:p>
        </w:tc>
        <w:tc>
          <w:tcPr>
            <w:tcW w:w="1524" w:type="dxa"/>
            <w:vAlign w:val="center"/>
          </w:tcPr>
          <w:p w:rsidR="00B11C51" w:rsidRPr="00D82004" w:rsidRDefault="007048D8" w:rsidP="0071587E">
            <w:pPr>
              <w:jc w:val="center"/>
              <w:rPr>
                <w:color w:val="FF0000"/>
              </w:rPr>
            </w:pPr>
            <w:r>
              <w:t>3.3</w:t>
            </w:r>
            <w:r w:rsidR="00B11C51" w:rsidRPr="00146DF7">
              <w:t>%</w:t>
            </w:r>
            <w:r w:rsidR="00B11C51">
              <w:rPr>
                <w:color w:val="FF0000"/>
              </w:rPr>
              <w:t xml:space="preserve"> (</w:t>
            </w:r>
            <w:r w:rsidR="00B11C51" w:rsidRPr="00D82004">
              <w:rPr>
                <w:color w:val="FF0000"/>
              </w:rPr>
              <w:t>0%</w:t>
            </w:r>
            <w:r w:rsidR="00B11C51">
              <w:rPr>
                <w:color w:val="FF0000"/>
              </w:rPr>
              <w:t>)</w:t>
            </w:r>
          </w:p>
        </w:tc>
      </w:tr>
    </w:tbl>
    <w:p w:rsidR="00B11C51" w:rsidRDefault="00B11C51" w:rsidP="00B11C51">
      <w:pPr>
        <w:spacing w:after="0" w:line="240" w:lineRule="auto"/>
        <w:rPr>
          <w:b/>
          <w:u w:val="single"/>
        </w:rPr>
      </w:pPr>
    </w:p>
    <w:tbl>
      <w:tblPr>
        <w:tblStyle w:val="TableGrid"/>
        <w:tblW w:w="10631" w:type="dxa"/>
        <w:jc w:val="center"/>
        <w:tblLook w:val="04A0" w:firstRow="1" w:lastRow="0" w:firstColumn="1" w:lastColumn="0" w:noHBand="0" w:noVBand="1"/>
      </w:tblPr>
      <w:tblGrid>
        <w:gridCol w:w="2092"/>
        <w:gridCol w:w="2082"/>
        <w:gridCol w:w="2082"/>
        <w:gridCol w:w="2082"/>
        <w:gridCol w:w="2293"/>
      </w:tblGrid>
      <w:tr w:rsidR="00BE25DB" w:rsidTr="00B11C51">
        <w:trPr>
          <w:trHeight w:val="420"/>
          <w:jc w:val="center"/>
        </w:trPr>
        <w:tc>
          <w:tcPr>
            <w:tcW w:w="2092" w:type="dxa"/>
            <w:vAlign w:val="center"/>
          </w:tcPr>
          <w:p w:rsidR="00BE25DB" w:rsidRPr="00B11C51" w:rsidRDefault="00B11C51" w:rsidP="00B11C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Teacher Assessed</w:t>
            </w:r>
          </w:p>
        </w:tc>
        <w:tc>
          <w:tcPr>
            <w:tcW w:w="2082" w:type="dxa"/>
            <w:vAlign w:val="center"/>
          </w:tcPr>
          <w:p w:rsidR="00BE25DB" w:rsidRDefault="00BE25DB" w:rsidP="00921B69">
            <w:pPr>
              <w:jc w:val="center"/>
            </w:pPr>
            <w:r>
              <w:t>Working at greater depth</w:t>
            </w:r>
          </w:p>
        </w:tc>
        <w:tc>
          <w:tcPr>
            <w:tcW w:w="2082" w:type="dxa"/>
            <w:vAlign w:val="center"/>
          </w:tcPr>
          <w:p w:rsidR="00BE25DB" w:rsidRDefault="00BE25DB" w:rsidP="00921B69">
            <w:pPr>
              <w:jc w:val="center"/>
            </w:pPr>
            <w:r>
              <w:t>Working at the expected standard</w:t>
            </w:r>
          </w:p>
        </w:tc>
        <w:tc>
          <w:tcPr>
            <w:tcW w:w="2082" w:type="dxa"/>
            <w:vAlign w:val="center"/>
          </w:tcPr>
          <w:p w:rsidR="00BE25DB" w:rsidRDefault="00BE25DB" w:rsidP="00921B69">
            <w:pPr>
              <w:jc w:val="center"/>
            </w:pPr>
            <w:r>
              <w:t>Working towards the expected standard</w:t>
            </w:r>
          </w:p>
        </w:tc>
        <w:tc>
          <w:tcPr>
            <w:tcW w:w="2293" w:type="dxa"/>
            <w:vAlign w:val="center"/>
          </w:tcPr>
          <w:p w:rsidR="00BE25DB" w:rsidRDefault="00BE25DB" w:rsidP="00921B69">
            <w:pPr>
              <w:jc w:val="center"/>
            </w:pPr>
            <w:r>
              <w:t>Working at pre key-stage expectations</w:t>
            </w:r>
          </w:p>
        </w:tc>
      </w:tr>
      <w:tr w:rsidR="00BE25DB" w:rsidTr="00B11C51">
        <w:trPr>
          <w:trHeight w:val="442"/>
          <w:jc w:val="center"/>
        </w:trPr>
        <w:tc>
          <w:tcPr>
            <w:tcW w:w="2092" w:type="dxa"/>
            <w:vAlign w:val="center"/>
          </w:tcPr>
          <w:p w:rsidR="00BE25DB" w:rsidRPr="005048DF" w:rsidRDefault="00BE25DB" w:rsidP="00921B69">
            <w:pPr>
              <w:jc w:val="center"/>
            </w:pPr>
            <w:r>
              <w:t>Writing</w:t>
            </w:r>
          </w:p>
        </w:tc>
        <w:tc>
          <w:tcPr>
            <w:tcW w:w="2082" w:type="dxa"/>
            <w:vAlign w:val="center"/>
          </w:tcPr>
          <w:p w:rsidR="00BE25DB" w:rsidRDefault="007048D8" w:rsidP="00D2423C">
            <w:pPr>
              <w:jc w:val="center"/>
            </w:pPr>
            <w:r>
              <w:t>27</w:t>
            </w:r>
            <w:r w:rsidR="00BE25DB">
              <w:t xml:space="preserve">% </w:t>
            </w:r>
            <w:r w:rsidR="001B0C66">
              <w:rPr>
                <w:color w:val="FF0000"/>
              </w:rPr>
              <w:t>(32</w:t>
            </w:r>
            <w:r w:rsidR="00BE25DB" w:rsidRPr="00D82004">
              <w:rPr>
                <w:color w:val="FF0000"/>
              </w:rPr>
              <w:t>%)</w:t>
            </w:r>
          </w:p>
        </w:tc>
        <w:tc>
          <w:tcPr>
            <w:tcW w:w="2082" w:type="dxa"/>
            <w:vAlign w:val="center"/>
          </w:tcPr>
          <w:p w:rsidR="00BE25DB" w:rsidRDefault="007048D8" w:rsidP="00D2423C">
            <w:pPr>
              <w:jc w:val="center"/>
            </w:pPr>
            <w:r>
              <w:t>87</w:t>
            </w:r>
            <w:r w:rsidR="00BE25DB">
              <w:t xml:space="preserve">% </w:t>
            </w:r>
            <w:r w:rsidR="001B0C66">
              <w:rPr>
                <w:color w:val="FF0000"/>
              </w:rPr>
              <w:t>(90</w:t>
            </w:r>
            <w:r w:rsidR="00BE25DB" w:rsidRPr="00D82004">
              <w:rPr>
                <w:color w:val="FF0000"/>
              </w:rPr>
              <w:t>%)</w:t>
            </w:r>
          </w:p>
        </w:tc>
        <w:tc>
          <w:tcPr>
            <w:tcW w:w="2082" w:type="dxa"/>
            <w:vAlign w:val="center"/>
          </w:tcPr>
          <w:p w:rsidR="00BE25DB" w:rsidRDefault="007048D8" w:rsidP="00D2423C">
            <w:pPr>
              <w:jc w:val="center"/>
            </w:pPr>
            <w:r>
              <w:t>6.5</w:t>
            </w:r>
            <w:r w:rsidR="00BE25DB">
              <w:t xml:space="preserve">% </w:t>
            </w:r>
            <w:r w:rsidR="001B0C66">
              <w:rPr>
                <w:color w:val="FF0000"/>
              </w:rPr>
              <w:t>(3</w:t>
            </w:r>
            <w:r w:rsidR="00BE25DB" w:rsidRPr="00D82004">
              <w:rPr>
                <w:color w:val="FF0000"/>
              </w:rPr>
              <w:t>%)</w:t>
            </w:r>
          </w:p>
        </w:tc>
        <w:tc>
          <w:tcPr>
            <w:tcW w:w="2293" w:type="dxa"/>
            <w:vAlign w:val="center"/>
          </w:tcPr>
          <w:p w:rsidR="00BE25DB" w:rsidRDefault="007048D8" w:rsidP="00D2423C">
            <w:pPr>
              <w:jc w:val="center"/>
            </w:pPr>
            <w:r>
              <w:t>6.5</w:t>
            </w:r>
            <w:r w:rsidR="00BE25DB">
              <w:t xml:space="preserve">% </w:t>
            </w:r>
            <w:r w:rsidR="001B0C66">
              <w:rPr>
                <w:color w:val="FF0000"/>
              </w:rPr>
              <w:t>(7</w:t>
            </w:r>
            <w:r w:rsidR="00BE25DB" w:rsidRPr="00D82004">
              <w:rPr>
                <w:color w:val="FF0000"/>
              </w:rPr>
              <w:t>%)</w:t>
            </w:r>
          </w:p>
        </w:tc>
      </w:tr>
    </w:tbl>
    <w:p w:rsidR="00B11C51" w:rsidRDefault="00B11C51" w:rsidP="00B11C51">
      <w:pPr>
        <w:spacing w:after="0" w:line="240" w:lineRule="auto"/>
        <w:rPr>
          <w:b/>
          <w:u w:val="single"/>
        </w:rPr>
      </w:pPr>
    </w:p>
    <w:p w:rsidR="002E0B0F" w:rsidRDefault="002D7AC1" w:rsidP="00B11C51">
      <w:pPr>
        <w:spacing w:after="0" w:line="240" w:lineRule="auto"/>
        <w:ind w:left="-567"/>
        <w:rPr>
          <w:b/>
          <w:u w:val="single"/>
        </w:rPr>
      </w:pPr>
      <w:r w:rsidRPr="002D7AC1">
        <w:rPr>
          <w:b/>
          <w:u w:val="single"/>
        </w:rPr>
        <w:t>National and Hertfordshire un</w:t>
      </w:r>
      <w:r w:rsidR="004D4B20">
        <w:rPr>
          <w:b/>
          <w:u w:val="single"/>
        </w:rPr>
        <w:t>-</w:t>
      </w:r>
      <w:r w:rsidRPr="002D7AC1">
        <w:rPr>
          <w:b/>
          <w:u w:val="single"/>
        </w:rPr>
        <w:t>validated figures:</w:t>
      </w:r>
    </w:p>
    <w:p w:rsidR="00B11C51" w:rsidRDefault="00B11C51" w:rsidP="00B11C51">
      <w:pPr>
        <w:spacing w:after="0" w:line="240" w:lineRule="auto"/>
        <w:rPr>
          <w:b/>
          <w:u w:val="single"/>
        </w:rPr>
      </w:pPr>
    </w:p>
    <w:tbl>
      <w:tblPr>
        <w:tblStyle w:val="TableGrid"/>
        <w:tblW w:w="10474" w:type="dxa"/>
        <w:tblInd w:w="-714" w:type="dxa"/>
        <w:tblLook w:val="04A0" w:firstRow="1" w:lastRow="0" w:firstColumn="1" w:lastColumn="0" w:noHBand="0" w:noVBand="1"/>
      </w:tblPr>
      <w:tblGrid>
        <w:gridCol w:w="2618"/>
        <w:gridCol w:w="2619"/>
        <w:gridCol w:w="2618"/>
        <w:gridCol w:w="2619"/>
      </w:tblGrid>
      <w:tr w:rsidR="002D7AC1" w:rsidTr="00B11C51">
        <w:trPr>
          <w:trHeight w:val="412"/>
        </w:trPr>
        <w:tc>
          <w:tcPr>
            <w:tcW w:w="2618" w:type="dxa"/>
            <w:vAlign w:val="center"/>
          </w:tcPr>
          <w:p w:rsidR="002D7AC1" w:rsidRDefault="002D7AC1">
            <w:pPr>
              <w:rPr>
                <w:b/>
                <w:u w:val="single"/>
              </w:rPr>
            </w:pPr>
          </w:p>
        </w:tc>
        <w:tc>
          <w:tcPr>
            <w:tcW w:w="2619" w:type="dxa"/>
            <w:vAlign w:val="center"/>
          </w:tcPr>
          <w:p w:rsidR="002D7AC1" w:rsidRPr="002D7AC1" w:rsidRDefault="002D7AC1" w:rsidP="002D7AC1">
            <w:pPr>
              <w:jc w:val="center"/>
            </w:pPr>
            <w:r w:rsidRPr="002D7AC1">
              <w:t>National</w:t>
            </w:r>
          </w:p>
        </w:tc>
        <w:tc>
          <w:tcPr>
            <w:tcW w:w="2618" w:type="dxa"/>
            <w:vAlign w:val="center"/>
          </w:tcPr>
          <w:p w:rsidR="002D7AC1" w:rsidRPr="002D7AC1" w:rsidRDefault="002D7AC1" w:rsidP="002D7AC1">
            <w:pPr>
              <w:jc w:val="center"/>
            </w:pPr>
            <w:r w:rsidRPr="002D7AC1">
              <w:t>Herts</w:t>
            </w:r>
          </w:p>
        </w:tc>
        <w:tc>
          <w:tcPr>
            <w:tcW w:w="2619" w:type="dxa"/>
            <w:vAlign w:val="center"/>
          </w:tcPr>
          <w:p w:rsidR="002D7AC1" w:rsidRPr="002D7AC1" w:rsidRDefault="002D7AC1" w:rsidP="002D7AC1">
            <w:pPr>
              <w:jc w:val="center"/>
            </w:pPr>
            <w:r w:rsidRPr="002D7AC1">
              <w:t>St. Adrian’s</w:t>
            </w:r>
          </w:p>
        </w:tc>
      </w:tr>
      <w:tr w:rsidR="002D7AC1" w:rsidTr="00B11C51">
        <w:trPr>
          <w:trHeight w:val="389"/>
        </w:trPr>
        <w:tc>
          <w:tcPr>
            <w:tcW w:w="2618" w:type="dxa"/>
            <w:vAlign w:val="center"/>
          </w:tcPr>
          <w:p w:rsidR="002D7AC1" w:rsidRDefault="002D7AC1" w:rsidP="002D7AC1">
            <w:pPr>
              <w:jc w:val="center"/>
            </w:pPr>
            <w:r>
              <w:t>Reading</w:t>
            </w:r>
          </w:p>
        </w:tc>
        <w:tc>
          <w:tcPr>
            <w:tcW w:w="2619" w:type="dxa"/>
            <w:vAlign w:val="center"/>
          </w:tcPr>
          <w:p w:rsidR="002D7AC1" w:rsidRPr="00D82004" w:rsidRDefault="009222B6" w:rsidP="009222B6">
            <w:pPr>
              <w:jc w:val="center"/>
              <w:rPr>
                <w:color w:val="FF0000"/>
              </w:rPr>
            </w:pPr>
            <w:r>
              <w:t>73</w:t>
            </w:r>
            <w:r w:rsidR="00E84B46" w:rsidRPr="00E84B46">
              <w:t xml:space="preserve">% </w:t>
            </w:r>
            <w:r w:rsidR="004D4B20">
              <w:rPr>
                <w:color w:val="FF0000"/>
              </w:rPr>
              <w:t>(</w:t>
            </w:r>
            <w:r w:rsidR="00765AF8">
              <w:rPr>
                <w:color w:val="FF0000"/>
              </w:rPr>
              <w:t>75</w:t>
            </w:r>
            <w:r w:rsidR="002D7AC1" w:rsidRPr="00D82004">
              <w:rPr>
                <w:color w:val="FF0000"/>
              </w:rPr>
              <w:t>%</w:t>
            </w:r>
            <w:r w:rsidR="004D4B20">
              <w:rPr>
                <w:color w:val="FF0000"/>
              </w:rPr>
              <w:t>)</w:t>
            </w:r>
          </w:p>
        </w:tc>
        <w:tc>
          <w:tcPr>
            <w:tcW w:w="2618" w:type="dxa"/>
            <w:vAlign w:val="center"/>
          </w:tcPr>
          <w:p w:rsidR="002D7AC1" w:rsidRPr="00E84B46" w:rsidRDefault="002C3885" w:rsidP="002D7AC1">
            <w:pPr>
              <w:jc w:val="center"/>
            </w:pPr>
            <w:r>
              <w:t xml:space="preserve">76% </w:t>
            </w:r>
            <w:r w:rsidRPr="002C3885">
              <w:rPr>
                <w:color w:val="FF0000"/>
              </w:rPr>
              <w:t>(79%)</w:t>
            </w:r>
          </w:p>
        </w:tc>
        <w:tc>
          <w:tcPr>
            <w:tcW w:w="2619" w:type="dxa"/>
            <w:vAlign w:val="center"/>
          </w:tcPr>
          <w:p w:rsidR="002D7AC1" w:rsidRPr="00D82004" w:rsidRDefault="00DC6D68" w:rsidP="002D7AC1">
            <w:pPr>
              <w:jc w:val="center"/>
              <w:rPr>
                <w:color w:val="FF0000"/>
              </w:rPr>
            </w:pPr>
            <w:r w:rsidRPr="00DC6D68">
              <w:t>90</w:t>
            </w:r>
            <w:r w:rsidR="00146DF7">
              <w:rPr>
                <w:color w:val="FF0000"/>
              </w:rPr>
              <w:t xml:space="preserve"> </w:t>
            </w:r>
            <w:r w:rsidR="00146DF7" w:rsidRPr="00146DF7">
              <w:t>%</w:t>
            </w:r>
            <w:r w:rsidR="00146DF7">
              <w:rPr>
                <w:color w:val="FF0000"/>
              </w:rPr>
              <w:t xml:space="preserve"> </w:t>
            </w:r>
            <w:r w:rsidR="004D4B20">
              <w:rPr>
                <w:color w:val="FF0000"/>
              </w:rPr>
              <w:t>(</w:t>
            </w:r>
            <w:r w:rsidR="00765AF8">
              <w:rPr>
                <w:color w:val="FF0000"/>
              </w:rPr>
              <w:t>97</w:t>
            </w:r>
            <w:r w:rsidR="002D7AC1" w:rsidRPr="00D82004">
              <w:rPr>
                <w:color w:val="FF0000"/>
              </w:rPr>
              <w:t>%</w:t>
            </w:r>
            <w:r w:rsidR="004D4B20">
              <w:rPr>
                <w:color w:val="FF0000"/>
              </w:rPr>
              <w:t>)</w:t>
            </w:r>
          </w:p>
        </w:tc>
      </w:tr>
      <w:tr w:rsidR="00E84B46" w:rsidTr="00B11C51">
        <w:trPr>
          <w:trHeight w:val="412"/>
        </w:trPr>
        <w:tc>
          <w:tcPr>
            <w:tcW w:w="2618" w:type="dxa"/>
            <w:vAlign w:val="center"/>
          </w:tcPr>
          <w:p w:rsidR="00E84B46" w:rsidRPr="005048DF" w:rsidRDefault="00E84B46" w:rsidP="00E84B46">
            <w:pPr>
              <w:jc w:val="center"/>
            </w:pPr>
            <w:r>
              <w:t>Writing</w:t>
            </w:r>
          </w:p>
        </w:tc>
        <w:tc>
          <w:tcPr>
            <w:tcW w:w="2619" w:type="dxa"/>
            <w:vAlign w:val="center"/>
          </w:tcPr>
          <w:p w:rsidR="00E84B46" w:rsidRPr="00D82004" w:rsidRDefault="00E84B46" w:rsidP="00E84B46">
            <w:pPr>
              <w:jc w:val="center"/>
              <w:rPr>
                <w:color w:val="FF0000"/>
              </w:rPr>
            </w:pPr>
            <w:r w:rsidRPr="00E84B46">
              <w:t xml:space="preserve"> </w:t>
            </w:r>
            <w:r w:rsidR="009222B6">
              <w:t>78</w:t>
            </w:r>
            <w:r w:rsidRPr="00E84B46">
              <w:t xml:space="preserve">% </w:t>
            </w:r>
            <w:r w:rsidR="00765AF8">
              <w:rPr>
                <w:color w:val="FF0000"/>
              </w:rPr>
              <w:t>(78</w:t>
            </w:r>
            <w:r w:rsidRPr="00D82004">
              <w:rPr>
                <w:color w:val="FF0000"/>
              </w:rPr>
              <w:t>%</w:t>
            </w:r>
            <w:r>
              <w:rPr>
                <w:color w:val="FF0000"/>
              </w:rPr>
              <w:t>)</w:t>
            </w:r>
          </w:p>
        </w:tc>
        <w:tc>
          <w:tcPr>
            <w:tcW w:w="2618" w:type="dxa"/>
            <w:vAlign w:val="center"/>
          </w:tcPr>
          <w:p w:rsidR="00E84B46" w:rsidRDefault="002C3885" w:rsidP="00E84B46">
            <w:pPr>
              <w:jc w:val="center"/>
            </w:pPr>
            <w:r>
              <w:t xml:space="preserve">79% </w:t>
            </w:r>
            <w:r w:rsidRPr="002C3885">
              <w:rPr>
                <w:color w:val="FF0000"/>
              </w:rPr>
              <w:t>(79%)</w:t>
            </w:r>
          </w:p>
        </w:tc>
        <w:tc>
          <w:tcPr>
            <w:tcW w:w="2619" w:type="dxa"/>
            <w:vAlign w:val="center"/>
          </w:tcPr>
          <w:p w:rsidR="00E84B46" w:rsidRPr="00D82004" w:rsidRDefault="00DC6D68" w:rsidP="00E84B46">
            <w:pPr>
              <w:jc w:val="center"/>
              <w:rPr>
                <w:color w:val="FF0000"/>
              </w:rPr>
            </w:pPr>
            <w:r w:rsidRPr="00DC6D68">
              <w:t>87</w:t>
            </w:r>
            <w:r w:rsidR="00E84B46" w:rsidRPr="004D4B20">
              <w:t>%</w:t>
            </w:r>
            <w:r w:rsidR="00765AF8">
              <w:rPr>
                <w:color w:val="FF0000"/>
              </w:rPr>
              <w:t xml:space="preserve"> (90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</w:tr>
      <w:tr w:rsidR="00E84B46" w:rsidTr="00B11C51">
        <w:trPr>
          <w:trHeight w:val="389"/>
        </w:trPr>
        <w:tc>
          <w:tcPr>
            <w:tcW w:w="2618" w:type="dxa"/>
            <w:vAlign w:val="center"/>
          </w:tcPr>
          <w:p w:rsidR="00E84B46" w:rsidRDefault="00E84B46" w:rsidP="00E84B46">
            <w:pPr>
              <w:jc w:val="center"/>
            </w:pPr>
            <w:r>
              <w:t>Grammar</w:t>
            </w:r>
          </w:p>
        </w:tc>
        <w:tc>
          <w:tcPr>
            <w:tcW w:w="2619" w:type="dxa"/>
            <w:vAlign w:val="center"/>
          </w:tcPr>
          <w:p w:rsidR="00E84B46" w:rsidRPr="00D82004" w:rsidRDefault="009222B6" w:rsidP="00E84B46">
            <w:pPr>
              <w:jc w:val="center"/>
              <w:rPr>
                <w:color w:val="FF0000"/>
              </w:rPr>
            </w:pPr>
            <w:r>
              <w:t>78</w:t>
            </w:r>
            <w:r w:rsidR="00E84B46" w:rsidRPr="00E84B46">
              <w:t xml:space="preserve">% </w:t>
            </w:r>
            <w:r w:rsidR="00765AF8">
              <w:rPr>
                <w:color w:val="FF0000"/>
              </w:rPr>
              <w:t>(78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  <w:tc>
          <w:tcPr>
            <w:tcW w:w="2618" w:type="dxa"/>
            <w:vAlign w:val="center"/>
          </w:tcPr>
          <w:p w:rsidR="00E84B46" w:rsidRDefault="002C3885" w:rsidP="00E84B46">
            <w:pPr>
              <w:jc w:val="center"/>
            </w:pPr>
            <w:r>
              <w:t xml:space="preserve">79% </w:t>
            </w:r>
            <w:r w:rsidRPr="002C3885">
              <w:rPr>
                <w:color w:val="FF0000"/>
              </w:rPr>
              <w:t>(80%)</w:t>
            </w:r>
          </w:p>
        </w:tc>
        <w:tc>
          <w:tcPr>
            <w:tcW w:w="2619" w:type="dxa"/>
            <w:vAlign w:val="center"/>
          </w:tcPr>
          <w:p w:rsidR="00E84B46" w:rsidRPr="00D82004" w:rsidRDefault="00DC6D68" w:rsidP="00E84B46">
            <w:pPr>
              <w:jc w:val="center"/>
              <w:rPr>
                <w:color w:val="FF0000"/>
              </w:rPr>
            </w:pPr>
            <w:r>
              <w:t>90</w:t>
            </w:r>
            <w:r w:rsidR="00E84B46" w:rsidRPr="00146DF7">
              <w:t>%</w:t>
            </w:r>
            <w:r w:rsidR="00765AF8">
              <w:rPr>
                <w:color w:val="FF0000"/>
              </w:rPr>
              <w:t xml:space="preserve"> (90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</w:tr>
      <w:tr w:rsidR="00E84B46" w:rsidTr="00B11C51">
        <w:trPr>
          <w:trHeight w:val="412"/>
        </w:trPr>
        <w:tc>
          <w:tcPr>
            <w:tcW w:w="2618" w:type="dxa"/>
            <w:vAlign w:val="center"/>
          </w:tcPr>
          <w:p w:rsidR="00E84B46" w:rsidRPr="005048DF" w:rsidRDefault="00E84B46" w:rsidP="00E84B46">
            <w:pPr>
              <w:jc w:val="center"/>
            </w:pPr>
            <w:r>
              <w:t>Maths</w:t>
            </w:r>
          </w:p>
        </w:tc>
        <w:tc>
          <w:tcPr>
            <w:tcW w:w="2619" w:type="dxa"/>
            <w:vAlign w:val="center"/>
          </w:tcPr>
          <w:p w:rsidR="00E84B46" w:rsidRPr="00D82004" w:rsidRDefault="009222B6" w:rsidP="00E84B46">
            <w:pPr>
              <w:jc w:val="center"/>
              <w:rPr>
                <w:color w:val="FF0000"/>
              </w:rPr>
            </w:pPr>
            <w:r>
              <w:t>79</w:t>
            </w:r>
            <w:r w:rsidR="00E84B46" w:rsidRPr="00E84B46">
              <w:t xml:space="preserve">% </w:t>
            </w:r>
            <w:r w:rsidR="00765AF8">
              <w:rPr>
                <w:color w:val="FF0000"/>
              </w:rPr>
              <w:t>(76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  <w:tc>
          <w:tcPr>
            <w:tcW w:w="2618" w:type="dxa"/>
            <w:vAlign w:val="center"/>
          </w:tcPr>
          <w:p w:rsidR="00E84B46" w:rsidRDefault="002C3885" w:rsidP="00E84B46">
            <w:pPr>
              <w:jc w:val="center"/>
            </w:pPr>
            <w:r>
              <w:t xml:space="preserve">80% </w:t>
            </w:r>
            <w:r w:rsidRPr="002C3885">
              <w:rPr>
                <w:color w:val="FF0000"/>
              </w:rPr>
              <w:t>(77%)</w:t>
            </w:r>
          </w:p>
        </w:tc>
        <w:tc>
          <w:tcPr>
            <w:tcW w:w="2619" w:type="dxa"/>
            <w:vAlign w:val="center"/>
          </w:tcPr>
          <w:p w:rsidR="00E84B46" w:rsidRPr="00D82004" w:rsidRDefault="00DC6D68" w:rsidP="00E84B46">
            <w:pPr>
              <w:jc w:val="center"/>
              <w:rPr>
                <w:color w:val="FF0000"/>
              </w:rPr>
            </w:pPr>
            <w:r>
              <w:t>90</w:t>
            </w:r>
            <w:r w:rsidR="00E84B46" w:rsidRPr="00146DF7">
              <w:t>%</w:t>
            </w:r>
            <w:r w:rsidR="00765AF8">
              <w:rPr>
                <w:color w:val="FF0000"/>
              </w:rPr>
              <w:t xml:space="preserve"> (90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</w:tr>
      <w:tr w:rsidR="00E84B46" w:rsidTr="00B11C51">
        <w:trPr>
          <w:trHeight w:val="412"/>
        </w:trPr>
        <w:tc>
          <w:tcPr>
            <w:tcW w:w="2618" w:type="dxa"/>
            <w:vAlign w:val="center"/>
          </w:tcPr>
          <w:p w:rsidR="00E84B46" w:rsidRDefault="00E84B46" w:rsidP="00E84B46">
            <w:pPr>
              <w:jc w:val="center"/>
            </w:pPr>
            <w:r>
              <w:t>RWM combined</w:t>
            </w:r>
          </w:p>
        </w:tc>
        <w:tc>
          <w:tcPr>
            <w:tcW w:w="2619" w:type="dxa"/>
            <w:vAlign w:val="center"/>
          </w:tcPr>
          <w:p w:rsidR="00E84B46" w:rsidRPr="00D82004" w:rsidRDefault="009222B6" w:rsidP="00E84B46">
            <w:pPr>
              <w:jc w:val="center"/>
              <w:rPr>
                <w:color w:val="FF0000"/>
              </w:rPr>
            </w:pPr>
            <w:r>
              <w:t>65</w:t>
            </w:r>
            <w:r w:rsidR="00E84B46" w:rsidRPr="00E84B46">
              <w:t xml:space="preserve">% </w:t>
            </w:r>
            <w:r w:rsidR="00765AF8">
              <w:rPr>
                <w:color w:val="FF0000"/>
              </w:rPr>
              <w:t>(64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  <w:tc>
          <w:tcPr>
            <w:tcW w:w="2618" w:type="dxa"/>
            <w:vAlign w:val="center"/>
          </w:tcPr>
          <w:p w:rsidR="00E84B46" w:rsidRDefault="002C3885" w:rsidP="00E84B46">
            <w:pPr>
              <w:jc w:val="center"/>
            </w:pPr>
            <w:r>
              <w:t xml:space="preserve">67% </w:t>
            </w:r>
            <w:r w:rsidRPr="002C3885">
              <w:rPr>
                <w:color w:val="FF0000"/>
              </w:rPr>
              <w:t>(66%)</w:t>
            </w:r>
          </w:p>
        </w:tc>
        <w:tc>
          <w:tcPr>
            <w:tcW w:w="2619" w:type="dxa"/>
            <w:shd w:val="clear" w:color="auto" w:fill="FFFF00"/>
            <w:vAlign w:val="center"/>
          </w:tcPr>
          <w:p w:rsidR="00E84B46" w:rsidRPr="00D82004" w:rsidRDefault="00DC6D68" w:rsidP="00E84B46">
            <w:pPr>
              <w:jc w:val="center"/>
              <w:rPr>
                <w:color w:val="FF0000"/>
              </w:rPr>
            </w:pPr>
            <w:r>
              <w:t>87</w:t>
            </w:r>
            <w:r w:rsidR="00E84B46" w:rsidRPr="00146DF7">
              <w:t>%</w:t>
            </w:r>
            <w:r w:rsidR="00765AF8">
              <w:rPr>
                <w:color w:val="FF0000"/>
              </w:rPr>
              <w:t xml:space="preserve"> (9</w:t>
            </w:r>
            <w:r w:rsidR="00E84B46">
              <w:rPr>
                <w:color w:val="FF0000"/>
              </w:rPr>
              <w:t>0</w:t>
            </w:r>
            <w:r w:rsidR="00E84B46" w:rsidRPr="00D82004">
              <w:rPr>
                <w:color w:val="FF0000"/>
              </w:rPr>
              <w:t>%</w:t>
            </w:r>
            <w:r w:rsidR="00E84B46">
              <w:rPr>
                <w:color w:val="FF0000"/>
              </w:rPr>
              <w:t>)</w:t>
            </w:r>
          </w:p>
        </w:tc>
      </w:tr>
    </w:tbl>
    <w:p w:rsidR="00A54CAD" w:rsidRDefault="00A54CAD" w:rsidP="00E84B46">
      <w:pPr>
        <w:ind w:hanging="426"/>
      </w:pPr>
    </w:p>
    <w:p w:rsidR="00E84B46" w:rsidRPr="00A54CAD" w:rsidRDefault="007048D8" w:rsidP="007048D8">
      <w:pPr>
        <w:ind w:hanging="426"/>
        <w:jc w:val="center"/>
      </w:pPr>
      <w:r>
        <w:t>17</w:t>
      </w:r>
      <w:r w:rsidR="00E84B46" w:rsidRPr="00A54CAD">
        <w:t xml:space="preserve">% </w:t>
      </w:r>
      <w:r w:rsidRPr="007048D8">
        <w:rPr>
          <w:color w:val="FF0000"/>
        </w:rPr>
        <w:t>(26%)</w:t>
      </w:r>
      <w:r>
        <w:t xml:space="preserve"> </w:t>
      </w:r>
      <w:r w:rsidR="00E84B46" w:rsidRPr="00A54CAD">
        <w:t>of St Adrian’s pupils achieved greater depth in reading, writ</w:t>
      </w:r>
      <w:r>
        <w:t>ing and maths combined.</w:t>
      </w:r>
    </w:p>
    <w:tbl>
      <w:tblPr>
        <w:tblW w:w="10487" w:type="dxa"/>
        <w:jc w:val="center"/>
        <w:tblLook w:val="04A0" w:firstRow="1" w:lastRow="0" w:firstColumn="1" w:lastColumn="0" w:noHBand="0" w:noVBand="1"/>
      </w:tblPr>
      <w:tblGrid>
        <w:gridCol w:w="1499"/>
        <w:gridCol w:w="1743"/>
        <w:gridCol w:w="1853"/>
        <w:gridCol w:w="1950"/>
        <w:gridCol w:w="2098"/>
        <w:gridCol w:w="1344"/>
      </w:tblGrid>
      <w:tr w:rsidR="00423AB7" w:rsidRPr="00423AB7" w:rsidTr="004D4B20">
        <w:trPr>
          <w:trHeight w:val="45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AB7" w:rsidRPr="00423AB7" w:rsidRDefault="00423AB7" w:rsidP="004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ECFF"/>
            <w:vAlign w:val="center"/>
            <w:hideMark/>
          </w:tcPr>
          <w:p w:rsidR="00423AB7" w:rsidRPr="00423AB7" w:rsidRDefault="00423AB7" w:rsidP="0042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Av. Scaled Score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ECFF"/>
            <w:vAlign w:val="center"/>
          </w:tcPr>
          <w:p w:rsidR="009222B6" w:rsidRDefault="00423AB7" w:rsidP="00922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 Added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CCECFF"/>
            <w:vAlign w:val="center"/>
          </w:tcPr>
          <w:p w:rsidR="00423AB7" w:rsidRPr="00423AB7" w:rsidRDefault="00852E76" w:rsidP="00423A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Quintile</w:t>
            </w:r>
          </w:p>
        </w:tc>
      </w:tr>
      <w:tr w:rsidR="00423AB7" w:rsidRPr="00423AB7" w:rsidTr="00852E76">
        <w:trPr>
          <w:trHeight w:val="450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AB7" w:rsidRPr="00423AB7" w:rsidRDefault="00423AB7" w:rsidP="0042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423AB7" w:rsidRPr="00423AB7" w:rsidRDefault="00423AB7" w:rsidP="004D4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ECFF"/>
            <w:vAlign w:val="center"/>
            <w:hideMark/>
          </w:tcPr>
          <w:p w:rsidR="00423AB7" w:rsidRPr="00423AB7" w:rsidRDefault="00423AB7" w:rsidP="0042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:rsidR="00423AB7" w:rsidRPr="00423AB7" w:rsidRDefault="00423AB7" w:rsidP="0042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Herts</w:t>
            </w:r>
          </w:p>
        </w:tc>
        <w:tc>
          <w:tcPr>
            <w:tcW w:w="20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ECFF"/>
            <w:vAlign w:val="center"/>
          </w:tcPr>
          <w:p w:rsidR="00423AB7" w:rsidRPr="00423AB7" w:rsidRDefault="00423AB7" w:rsidP="00423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ECFF"/>
            <w:vAlign w:val="center"/>
          </w:tcPr>
          <w:p w:rsidR="00423AB7" w:rsidRPr="00423AB7" w:rsidRDefault="00423AB7" w:rsidP="00423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3AB7" w:rsidRPr="00423AB7" w:rsidTr="00852E76">
        <w:trPr>
          <w:trHeight w:val="199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423AB7" w:rsidRPr="00423AB7" w:rsidRDefault="00423AB7" w:rsidP="00423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AB7" w:rsidRPr="007C56F5" w:rsidRDefault="00146DF7" w:rsidP="00423AB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7C56F5">
              <w:rPr>
                <w:rFonts w:eastAsia="Times New Roman" w:cs="Arial"/>
                <w:lang w:eastAsia="en-GB"/>
              </w:rPr>
              <w:t xml:space="preserve"> </w:t>
            </w:r>
            <w:r w:rsidR="007048D8">
              <w:rPr>
                <w:rFonts w:eastAsia="Times New Roman" w:cs="Arial"/>
                <w:lang w:eastAsia="en-GB"/>
              </w:rPr>
              <w:t xml:space="preserve">109 </w:t>
            </w:r>
            <w:r w:rsidR="004D4B20" w:rsidRPr="007C56F5">
              <w:rPr>
                <w:rFonts w:eastAsia="Times New Roman" w:cs="Arial"/>
                <w:color w:val="FF0000"/>
                <w:lang w:eastAsia="en-GB"/>
              </w:rPr>
              <w:t>(</w:t>
            </w:r>
            <w:r w:rsidR="003E026C">
              <w:rPr>
                <w:rFonts w:eastAsia="Times New Roman" w:cs="Arial"/>
                <w:color w:val="FF0000"/>
                <w:lang w:eastAsia="en-GB"/>
              </w:rPr>
              <w:t>110</w:t>
            </w:r>
            <w:r w:rsidR="004D4B20" w:rsidRPr="007C56F5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23AB7" w:rsidRPr="007C56F5" w:rsidRDefault="00E84B46" w:rsidP="00423AB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="009222B6">
              <w:rPr>
                <w:rFonts w:eastAsia="Times New Roman" w:cs="Arial"/>
                <w:lang w:eastAsia="en-GB"/>
              </w:rPr>
              <w:t>104</w:t>
            </w:r>
            <w:r w:rsidR="00F818FA" w:rsidRPr="00F818FA">
              <w:rPr>
                <w:rFonts w:eastAsia="Times New Roman" w:cs="Arial"/>
                <w:lang w:eastAsia="en-GB"/>
              </w:rPr>
              <w:t xml:space="preserve"> </w:t>
            </w:r>
            <w:r w:rsidR="004D4B20" w:rsidRPr="007C56F5">
              <w:rPr>
                <w:rFonts w:eastAsia="Times New Roman" w:cs="Arial"/>
                <w:color w:val="FF0000"/>
                <w:lang w:eastAsia="en-GB"/>
              </w:rPr>
              <w:t>(</w:t>
            </w:r>
            <w:r w:rsidR="003E026C">
              <w:rPr>
                <w:rFonts w:eastAsia="Times New Roman" w:cs="Arial"/>
                <w:color w:val="FF0000"/>
                <w:lang w:eastAsia="en-GB"/>
              </w:rPr>
              <w:t>105</w:t>
            </w:r>
            <w:r w:rsidR="004D4B20" w:rsidRPr="007C56F5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23AB7" w:rsidRPr="007C56F5" w:rsidRDefault="005B282D" w:rsidP="00423AB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3C0C31">
              <w:rPr>
                <w:rFonts w:eastAsia="Times New Roman" w:cs="Arial"/>
                <w:lang w:eastAsia="en-GB"/>
              </w:rPr>
              <w:t>105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(106)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23AB7" w:rsidRPr="00C21EE7" w:rsidRDefault="00C21EE7" w:rsidP="00423AB7">
            <w:pPr>
              <w:spacing w:after="0" w:line="240" w:lineRule="auto"/>
              <w:jc w:val="center"/>
              <w:rPr>
                <w:rFonts w:cs="Arial"/>
              </w:rPr>
            </w:pPr>
            <w:r w:rsidRPr="00C21EE7">
              <w:rPr>
                <w:rFonts w:cs="Arial"/>
              </w:rPr>
              <w:t>3.2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423AB7" w:rsidRPr="00C21EE7" w:rsidRDefault="00852E76" w:rsidP="00423AB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Q1 of 5</w:t>
            </w:r>
          </w:p>
        </w:tc>
      </w:tr>
      <w:tr w:rsidR="00852E76" w:rsidRPr="00423AB7" w:rsidTr="00852E76">
        <w:trPr>
          <w:trHeight w:val="329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852E76" w:rsidRPr="00423AB7" w:rsidRDefault="00852E76" w:rsidP="00852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Writing TA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76" w:rsidRPr="00FB1399" w:rsidRDefault="00FB1399" w:rsidP="00FB1399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FB1399">
              <w:rPr>
                <w:rFonts w:eastAsia="Times New Roman" w:cs="Arial"/>
                <w:lang w:eastAsia="en-GB"/>
              </w:rPr>
              <w:t>NA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76" w:rsidRPr="00FB1399" w:rsidRDefault="00FB1399" w:rsidP="00FB1399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FB1399">
              <w:rPr>
                <w:rFonts w:eastAsia="Times New Roman" w:cs="Arial"/>
                <w:lang w:eastAsia="en-GB"/>
              </w:rPr>
              <w:t>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852E76" w:rsidRPr="00FB1399" w:rsidRDefault="00FB1399" w:rsidP="00FB1399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FB1399">
              <w:rPr>
                <w:rFonts w:eastAsia="Times New Roman" w:cs="Arial"/>
                <w:lang w:eastAsia="en-GB"/>
              </w:rPr>
              <w:t>NA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52E76" w:rsidRPr="00C21EE7" w:rsidRDefault="00852E76" w:rsidP="00852E76">
            <w:pPr>
              <w:spacing w:after="0" w:line="240" w:lineRule="auto"/>
              <w:jc w:val="center"/>
              <w:rPr>
                <w:rFonts w:cs="Arial"/>
              </w:rPr>
            </w:pPr>
            <w:r w:rsidRPr="00C21EE7">
              <w:rPr>
                <w:rFonts w:cs="Arial"/>
              </w:rPr>
              <w:t>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52E76" w:rsidRPr="00C21EE7" w:rsidRDefault="00852E76" w:rsidP="00852E7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Q3 of 5</w:t>
            </w:r>
          </w:p>
        </w:tc>
      </w:tr>
      <w:tr w:rsidR="00852E76" w:rsidRPr="00423AB7" w:rsidTr="00852E76">
        <w:trPr>
          <w:trHeight w:val="100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852E76" w:rsidRPr="00423AB7" w:rsidRDefault="00852E76" w:rsidP="00852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76" w:rsidRPr="007C56F5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7048D8">
              <w:rPr>
                <w:rFonts w:eastAsia="Times New Roman" w:cs="Arial"/>
                <w:lang w:eastAsia="en-GB"/>
              </w:rPr>
              <w:t>109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(</w:t>
            </w:r>
            <w:r>
              <w:rPr>
                <w:rFonts w:eastAsia="Times New Roman" w:cs="Arial"/>
                <w:color w:val="FF0000"/>
                <w:lang w:eastAsia="en-GB"/>
              </w:rPr>
              <w:t>109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76" w:rsidRPr="007C56F5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105</w:t>
            </w:r>
            <w:r w:rsidRPr="00F818FA">
              <w:rPr>
                <w:rFonts w:eastAsia="Times New Roman" w:cs="Arial"/>
                <w:lang w:eastAsia="en-GB"/>
              </w:rPr>
              <w:t xml:space="preserve"> 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(</w:t>
            </w:r>
            <w:r>
              <w:rPr>
                <w:rFonts w:eastAsia="Times New Roman" w:cs="Arial"/>
                <w:color w:val="FF0000"/>
                <w:lang w:eastAsia="en-GB"/>
              </w:rPr>
              <w:t>104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852E76" w:rsidRPr="007C56F5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3C0C31">
              <w:rPr>
                <w:rFonts w:eastAsia="Times New Roman" w:cs="Arial"/>
                <w:lang w:eastAsia="en-GB"/>
              </w:rPr>
              <w:t>105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(105)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52E76" w:rsidRPr="00C21EE7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 w:rsidRPr="00C21EE7">
              <w:rPr>
                <w:rFonts w:eastAsia="Times New Roman" w:cs="Arial"/>
                <w:lang w:eastAsia="en-GB"/>
              </w:rPr>
              <w:t>2.63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52E76" w:rsidRPr="00C21EE7" w:rsidRDefault="00852E76" w:rsidP="00852E7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Q1of 5</w:t>
            </w:r>
          </w:p>
        </w:tc>
      </w:tr>
      <w:tr w:rsidR="00852E76" w:rsidRPr="00423AB7" w:rsidTr="00852E76">
        <w:trPr>
          <w:trHeight w:val="21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852E76" w:rsidRPr="00423AB7" w:rsidRDefault="00852E76" w:rsidP="00852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GP</w:t>
            </w:r>
            <w:r w:rsidRPr="00423A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76" w:rsidRPr="007C56F5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110</w:t>
            </w:r>
            <w:r w:rsidRPr="007C56F5">
              <w:rPr>
                <w:rFonts w:eastAsia="Times New Roman" w:cs="Arial"/>
                <w:lang w:eastAsia="en-GB"/>
              </w:rPr>
              <w:t xml:space="preserve"> 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(</w:t>
            </w:r>
            <w:r>
              <w:rPr>
                <w:rFonts w:eastAsia="Times New Roman" w:cs="Arial"/>
                <w:color w:val="FF0000"/>
                <w:lang w:eastAsia="en-GB"/>
              </w:rPr>
              <w:t>113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2E76" w:rsidRPr="007C56F5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106</w:t>
            </w:r>
            <w:r w:rsidRPr="00F818FA">
              <w:rPr>
                <w:rFonts w:eastAsia="Times New Roman" w:cs="Arial"/>
                <w:lang w:eastAsia="en-GB"/>
              </w:rPr>
              <w:t xml:space="preserve"> 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(</w:t>
            </w:r>
            <w:r>
              <w:rPr>
                <w:rFonts w:eastAsia="Times New Roman" w:cs="Arial"/>
                <w:color w:val="FF0000"/>
                <w:lang w:eastAsia="en-GB"/>
              </w:rPr>
              <w:t>106</w:t>
            </w:r>
            <w:r w:rsidRPr="007C56F5">
              <w:rPr>
                <w:rFonts w:eastAsia="Times New Roman" w:cs="Arial"/>
                <w:color w:val="FF0000"/>
                <w:lang w:eastAsia="en-GB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852E76" w:rsidRPr="007C56F5" w:rsidRDefault="00852E76" w:rsidP="00852E7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3C0C31">
              <w:rPr>
                <w:rFonts w:eastAsia="Times New Roman" w:cs="Arial"/>
                <w:lang w:eastAsia="en-GB"/>
              </w:rPr>
              <w:t>107</w:t>
            </w:r>
            <w:r>
              <w:rPr>
                <w:rFonts w:eastAsia="Times New Roman" w:cs="Arial"/>
                <w:color w:val="FF0000"/>
                <w:lang w:eastAsia="en-GB"/>
              </w:rPr>
              <w:t xml:space="preserve"> (107)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52E76" w:rsidRPr="00C21EE7" w:rsidRDefault="00907986" w:rsidP="00852E7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52E76" w:rsidRPr="00C21EE7" w:rsidRDefault="00907986" w:rsidP="00852E76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NA</w:t>
            </w:r>
          </w:p>
        </w:tc>
      </w:tr>
    </w:tbl>
    <w:p w:rsidR="002E0B0F" w:rsidRDefault="002E0B0F"/>
    <w:p w:rsidR="00852E76" w:rsidRDefault="00852E76">
      <w:r>
        <w:t xml:space="preserve">Quintile: Q5 lowest to Q1 highest </w:t>
      </w:r>
      <w:bookmarkStart w:id="0" w:name="_GoBack"/>
      <w:bookmarkEnd w:id="0"/>
    </w:p>
    <w:sectPr w:rsidR="00852E76" w:rsidSect="008F23A3">
      <w:headerReference w:type="default" r:id="rId6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23C" w:rsidRDefault="00D2423C" w:rsidP="00D2423C">
      <w:pPr>
        <w:spacing w:after="0" w:line="240" w:lineRule="auto"/>
      </w:pPr>
      <w:r>
        <w:separator/>
      </w:r>
    </w:p>
  </w:endnote>
  <w:endnote w:type="continuationSeparator" w:id="0">
    <w:p w:rsidR="00D2423C" w:rsidRDefault="00D2423C" w:rsidP="00D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23C" w:rsidRDefault="00D2423C" w:rsidP="00D2423C">
      <w:pPr>
        <w:spacing w:after="0" w:line="240" w:lineRule="auto"/>
      </w:pPr>
      <w:r>
        <w:separator/>
      </w:r>
    </w:p>
  </w:footnote>
  <w:footnote w:type="continuationSeparator" w:id="0">
    <w:p w:rsidR="00D2423C" w:rsidRDefault="00D2423C" w:rsidP="00D2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Look w:val="04A0" w:firstRow="1" w:lastRow="0" w:firstColumn="1" w:lastColumn="0" w:noHBand="0" w:noVBand="1"/>
    </w:tblPr>
    <w:tblGrid>
      <w:gridCol w:w="1560"/>
      <w:gridCol w:w="6946"/>
      <w:gridCol w:w="1559"/>
    </w:tblGrid>
    <w:tr w:rsidR="00D2423C" w:rsidTr="00921B69">
      <w:trPr>
        <w:jc w:val="center"/>
      </w:trPr>
      <w:tc>
        <w:tcPr>
          <w:tcW w:w="1560" w:type="dxa"/>
          <w:shd w:val="clear" w:color="auto" w:fill="auto"/>
        </w:tcPr>
        <w:p w:rsidR="00D2423C" w:rsidRPr="006D16A2" w:rsidRDefault="00D2423C" w:rsidP="006D16A2">
          <w:pPr>
            <w:pStyle w:val="aLCPHeading"/>
          </w:pPr>
          <w:r w:rsidRPr="006D16A2">
            <w:drawing>
              <wp:inline distT="0" distB="0" distL="0" distR="0" wp14:anchorId="1A0E2F70" wp14:editId="2D3EACB0">
                <wp:extent cx="485775" cy="676275"/>
                <wp:effectExtent l="0" t="0" r="9525" b="9525"/>
                <wp:docPr id="8" name="Picture 81" descr="St%20Adrian%B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 descr="St%20Adrian%B9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D2423C" w:rsidRDefault="00D2423C" w:rsidP="00D2423C">
          <w:pPr>
            <w:pStyle w:val="Heading2"/>
            <w:jc w:val="center"/>
            <w:rPr>
              <w:color w:val="002060"/>
            </w:rPr>
          </w:pPr>
          <w:r w:rsidRPr="00632987">
            <w:rPr>
              <w:color w:val="002060"/>
            </w:rPr>
            <w:t>St Adrian’s Catholic Primary School</w:t>
          </w:r>
        </w:p>
        <w:p w:rsidR="00D2423C" w:rsidRPr="00DF0805" w:rsidRDefault="00D2423C" w:rsidP="00D2423C"/>
        <w:p w:rsidR="00D2423C" w:rsidRPr="00632987" w:rsidRDefault="00D2423C" w:rsidP="00D2423C">
          <w:pPr>
            <w:pStyle w:val="Heading3"/>
            <w:rPr>
              <w:color w:val="002060"/>
              <w:sz w:val="20"/>
              <w:szCs w:val="18"/>
            </w:rPr>
          </w:pPr>
          <w:r w:rsidRPr="00632987">
            <w:rPr>
              <w:color w:val="002060"/>
              <w:sz w:val="20"/>
              <w:szCs w:val="18"/>
            </w:rPr>
            <w:t xml:space="preserve"> ‘To learn, to love, to live as a community of God with Christ as our teacher’</w:t>
          </w:r>
        </w:p>
      </w:tc>
      <w:tc>
        <w:tcPr>
          <w:tcW w:w="1559" w:type="dxa"/>
          <w:shd w:val="clear" w:color="auto" w:fill="auto"/>
        </w:tcPr>
        <w:p w:rsidR="00D2423C" w:rsidRDefault="00D2423C" w:rsidP="006D16A2">
          <w:pPr>
            <w:pStyle w:val="aLCPHeading"/>
          </w:pPr>
          <w:r w:rsidRPr="00632987">
            <w:drawing>
              <wp:inline distT="0" distB="0" distL="0" distR="0" wp14:anchorId="58739CF9" wp14:editId="6659EFC5">
                <wp:extent cx="485775" cy="676275"/>
                <wp:effectExtent l="0" t="0" r="9525" b="9525"/>
                <wp:docPr id="9" name="Picture 82" descr="St%20Adrian%B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 descr="St%20Adrian%B9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423C" w:rsidRDefault="00D2423C" w:rsidP="00D24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25"/>
    <w:rsid w:val="00010303"/>
    <w:rsid w:val="00063981"/>
    <w:rsid w:val="000D44D3"/>
    <w:rsid w:val="001254E6"/>
    <w:rsid w:val="00146DF7"/>
    <w:rsid w:val="001B0C66"/>
    <w:rsid w:val="00263835"/>
    <w:rsid w:val="002B5218"/>
    <w:rsid w:val="002C3885"/>
    <w:rsid w:val="002D7AC1"/>
    <w:rsid w:val="002E0B0F"/>
    <w:rsid w:val="002E1062"/>
    <w:rsid w:val="003C0C31"/>
    <w:rsid w:val="003C495F"/>
    <w:rsid w:val="003E026C"/>
    <w:rsid w:val="00402927"/>
    <w:rsid w:val="00423AB7"/>
    <w:rsid w:val="004253B6"/>
    <w:rsid w:val="004A0DDE"/>
    <w:rsid w:val="004A6725"/>
    <w:rsid w:val="004C5192"/>
    <w:rsid w:val="004D4B20"/>
    <w:rsid w:val="004D5DC7"/>
    <w:rsid w:val="005135D5"/>
    <w:rsid w:val="005B282D"/>
    <w:rsid w:val="0060016B"/>
    <w:rsid w:val="0061239B"/>
    <w:rsid w:val="006D16A2"/>
    <w:rsid w:val="007048D8"/>
    <w:rsid w:val="0071587E"/>
    <w:rsid w:val="00765AF8"/>
    <w:rsid w:val="00782032"/>
    <w:rsid w:val="007C56F5"/>
    <w:rsid w:val="00846E1E"/>
    <w:rsid w:val="00852E76"/>
    <w:rsid w:val="008D4D91"/>
    <w:rsid w:val="008F23A3"/>
    <w:rsid w:val="00907986"/>
    <w:rsid w:val="009222B6"/>
    <w:rsid w:val="00945389"/>
    <w:rsid w:val="009B31BA"/>
    <w:rsid w:val="00A54CAD"/>
    <w:rsid w:val="00A713B1"/>
    <w:rsid w:val="00B11C51"/>
    <w:rsid w:val="00BE25DB"/>
    <w:rsid w:val="00C21EE7"/>
    <w:rsid w:val="00C428E4"/>
    <w:rsid w:val="00D2423C"/>
    <w:rsid w:val="00D32ADF"/>
    <w:rsid w:val="00D82004"/>
    <w:rsid w:val="00DC6D68"/>
    <w:rsid w:val="00E50602"/>
    <w:rsid w:val="00E84B46"/>
    <w:rsid w:val="00F818FA"/>
    <w:rsid w:val="00FA43D0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68E2"/>
  <w15:chartTrackingRefBased/>
  <w15:docId w15:val="{EBCE1545-3814-4765-8535-F2270F33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423C"/>
    <w:pPr>
      <w:keepNext/>
      <w:spacing w:after="0" w:line="240" w:lineRule="auto"/>
      <w:outlineLvl w:val="1"/>
    </w:pPr>
    <w:rPr>
      <w:rFonts w:eastAsia="Times New Roman" w:cs="Times New Roman"/>
      <w:bCs/>
      <w:color w:val="0070C0"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D242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67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4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3C"/>
  </w:style>
  <w:style w:type="paragraph" w:styleId="Footer">
    <w:name w:val="footer"/>
    <w:basedOn w:val="Normal"/>
    <w:link w:val="FooterChar"/>
    <w:uiPriority w:val="99"/>
    <w:unhideWhenUsed/>
    <w:rsid w:val="00D24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3C"/>
  </w:style>
  <w:style w:type="character" w:customStyle="1" w:styleId="Heading2Char">
    <w:name w:val="Heading 2 Char"/>
    <w:basedOn w:val="DefaultParagraphFont"/>
    <w:link w:val="Heading2"/>
    <w:rsid w:val="00D2423C"/>
    <w:rPr>
      <w:rFonts w:eastAsia="Times New Roman" w:cs="Times New Roman"/>
      <w:bCs/>
      <w:color w:val="0070C0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2423C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LCPHeading">
    <w:name w:val="a LCP Heading"/>
    <w:basedOn w:val="Heading1"/>
    <w:autoRedefine/>
    <w:rsid w:val="006D16A2"/>
    <w:pPr>
      <w:keepLines w:val="0"/>
      <w:widowControl w:val="0"/>
      <w:suppressAutoHyphens/>
      <w:spacing w:before="0" w:line="240" w:lineRule="auto"/>
      <w:jc w:val="center"/>
    </w:pPr>
    <w:rPr>
      <w:rFonts w:ascii="Arial" w:eastAsia="Times New Roman" w:hAnsi="Arial" w:cs="Arial"/>
      <w:b/>
      <w:noProof/>
      <w:color w:val="auto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Bedford</dc:creator>
  <cp:keywords/>
  <dc:description/>
  <cp:lastModifiedBy>Dominic Bedford</cp:lastModifiedBy>
  <cp:revision>12</cp:revision>
  <cp:lastPrinted>2019-07-09T07:25:00Z</cp:lastPrinted>
  <dcterms:created xsi:type="dcterms:W3CDTF">2019-07-09T06:26:00Z</dcterms:created>
  <dcterms:modified xsi:type="dcterms:W3CDTF">2019-10-16T15:29:00Z</dcterms:modified>
</cp:coreProperties>
</file>